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2.png" ContentType="image/png"/>
  <Override PartName="/word/media/rId33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39.png" ContentType="image/png"/>
  <Override PartName="/word/media/rId41.png" ContentType="image/png"/>
  <Override PartName="/word/media/rId42.png" ContentType="image/png"/>
  <Override PartName="/word/media/rId24.png" ContentType="image/png"/>
  <Override PartName="/word/media/rId27.png" ContentType="image/png"/>
  <Override PartName="/word/media/rId2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Poročilo</w:t>
      </w:r>
      <w:r>
        <w:t xml:space="preserve"> </w:t>
      </w:r>
      <w:r>
        <w:t xml:space="preserve">o</w:t>
      </w:r>
      <w:r>
        <w:t xml:space="preserve"> </w:t>
      </w:r>
      <w:r>
        <w:t xml:space="preserve">epidemiološki</w:t>
      </w:r>
      <w:r>
        <w:t xml:space="preserve"> </w:t>
      </w:r>
      <w:r>
        <w:t xml:space="preserve">situaciji</w:t>
      </w:r>
      <w:r>
        <w:t xml:space="preserve"> </w:t>
      </w:r>
      <w:r>
        <w:t xml:space="preserve">z</w:t>
      </w:r>
      <w:r>
        <w:t xml:space="preserve"> </w:t>
      </w:r>
      <w:r>
        <w:t xml:space="preserve">napovedmi</w:t>
      </w:r>
    </w:p>
    <w:p>
      <w:pPr>
        <w:pStyle w:val="FirstParagraph"/>
      </w:pPr>
      <w:r>
        <w:t xml:space="preserve">Poročilo pripravljeno: 2023-04-01 20:55.</w:t>
      </w:r>
    </w:p>
    <w:p>
      <w:pPr>
        <w:pStyle w:val="BodyText"/>
      </w:pPr>
      <w:r>
        <w:rPr>
          <w:b/>
        </w:rPr>
        <w:t xml:space="preserve">Aktualni podatki: 2023-04-01</w:t>
      </w:r>
      <w:r>
        <w:t xml:space="preserve">.</w:t>
      </w:r>
    </w:p>
    <w:p>
      <w:pPr>
        <w:pStyle w:val="Heading2"/>
      </w:pPr>
      <w:bookmarkStart w:id="20" w:name="X557da42baa771746abf64c200a146b92278de28"/>
      <w:r>
        <w:t xml:space="preserve">Epidemiološka situacija s kratkoročnimi napovedmi</w:t>
      </w:r>
      <w:bookmarkEnd w:id="20"/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944"/>
        <w:gridCol w:w="2880"/>
        <w:gridCol w:w="1944"/>
        <w:gridCol w:w="1944"/>
        <w:gridCol w:w="1944"/>
      </w:tblGrid>
      <w:tr>
        <w:trPr>
          <w:trHeight w:val="360" w:hRule="auto"/>
          <w:tblHeader/>
        </w:trPr>
        header1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teden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stanje/napoved okuženi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stanje/napoved spr. bolnišnice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stanje/napoved spr. EIT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stanje/napoved umrli*</w:t>
            </w:r>
          </w:p>
        </w:tc>
      </w:tr>
      <w:tr>
        <w:trPr>
          <w:trHeight w:val="360" w:hRule="auto"/>
        </w:trPr>
        body1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 tedna nazaj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2905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73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6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27</w:t>
            </w:r>
          </w:p>
        </w:tc>
      </w:tr>
      <w:tr>
        <w:trPr>
          <w:trHeight w:val="360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1 teden nazaj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3039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63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19</w:t>
            </w:r>
          </w:p>
        </w:tc>
      </w:tr>
      <w:tr>
        <w:trPr>
          <w:trHeight w:val="360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ta teden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3000 [2500, 4000]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40 [30, 40]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 [7, 7]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31 [30, 33]</w:t>
            </w:r>
          </w:p>
        </w:tc>
      </w:tr>
      <w:tr>
        <w:trPr>
          <w:trHeight w:val="360" w:hRule="auto"/>
        </w:trPr>
        body4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1 teden naprej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3500 [2500, 3500]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40 [30, 40]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 [7, 7]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31 [29, 33]</w:t>
            </w:r>
          </w:p>
        </w:tc>
      </w:tr>
      <w:tr>
        <w:trPr>
          <w:trHeight w:val="360" w:hRule="auto"/>
        </w:trPr>
        body5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 tedna naprej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3500 [2500, 4000]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40 [30, 50]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 [7, 8]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31 [26, 36]</w:t>
            </w:r>
          </w:p>
        </w:tc>
      </w:tr>
    </w:tbl>
    <w:p>
      <w:pPr>
        <w:pStyle w:val="FirstParagraph"/>
      </w:pPr>
      <w:r>
        <w:t xml:space="preserve">* podatki se lahko popravijo tudi za nazaj</w:t>
      </w:r>
    </w:p>
    <w:p>
      <w:pPr>
        <w:pStyle w:val="Heading2"/>
      </w:pPr>
      <w:bookmarkStart w:id="21" w:name="reprodukcijsko-število"/>
      <w:r>
        <w:t xml:space="preserve">Reprodukcijsko število</w:t>
      </w:r>
      <w:bookmarkEnd w:id="21"/>
    </w:p>
    <w:p>
      <w:pPr>
        <w:pStyle w:val="Heading3"/>
      </w:pPr>
      <w:bookmarkStart w:id="22" w:name="trenutna-ocena"/>
      <w:r>
        <w:t xml:space="preserve">Trenutna ocena</w:t>
      </w:r>
      <w:bookmarkEnd w:id="22"/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200"/>
      </w:tblGrid>
      <w:tr>
        <w:trPr>
          <w:trHeight w:val="360" w:hRule="auto"/>
          <w:tblHeader/>
        </w:trPr>
        header1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ocena</w:t>
            </w:r>
          </w:p>
        </w:tc>
      </w:tr>
      <w:tr>
        <w:trPr>
          <w:trHeight w:val="360" w:hRule="auto"/>
        </w:trPr>
        body1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4"/>
                <w:szCs w:val="24"/>
                <w:color w:val="000000"/>
              </w:rPr>
              <w:t xml:space="preserve">Rt = 0.93, CI50=[0.86, 0.99]</w:t>
            </w:r>
          </w:p>
        </w:tc>
      </w:tr>
    </w:tbl>
    <w:p>
      <w:pPr>
        <w:pStyle w:val="Heading3"/>
      </w:pPr>
      <w:bookmarkStart w:id="23" w:name="X8d623e320dd7367f0287eee676d60b2c6e2f44d"/>
      <w:r>
        <w:t xml:space="preserve">Gibanje trenutnega reprodukcijskega števila Rt</w:t>
      </w:r>
      <w:bookmarkEnd w:id="23"/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5" w:name="situacija-po-evropi"/>
      <w:r>
        <w:t xml:space="preserve">Situacija po Evropi</w:t>
      </w:r>
      <w:bookmarkEnd w:id="25"/>
    </w:p>
    <w:p>
      <w:pPr>
        <w:pStyle w:val="Heading3"/>
      </w:pPr>
      <w:bookmarkStart w:id="26" w:name="okužbe"/>
      <w:r>
        <w:t xml:space="preserve">Okužbe</w:t>
      </w:r>
      <w:bookmarkEnd w:id="26"/>
    </w:p>
    <w:p>
      <w:pPr>
        <w:pStyle w:val="FirstParagraph"/>
      </w:pPr>
      <w:r>
        <w:t xml:space="preserve">Sedem-dnevno povprečno število potrjenih primerov na 1M prebivalcev.</w:t>
      </w:r>
    </w:p>
    <w:p>
      <w:pPr>
        <w:pStyle w:val="BodyText"/>
      </w:pPr>
      <w:r>
        <w:drawing>
          <wp:inline>
            <wp:extent cx="5334000" cy="3200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hospitalizacije"/>
      <w:r>
        <w:t xml:space="preserve">Hospitalizacije</w:t>
      </w:r>
      <w:bookmarkEnd w:id="28"/>
    </w:p>
    <w:p>
      <w:pPr>
        <w:pStyle w:val="FirstParagraph"/>
      </w:pPr>
      <w:r>
        <w:t xml:space="preserve">Tedensko število sprejemov na 1 M prebivalcev.</w:t>
      </w:r>
    </w:p>
    <w:p>
      <w:pPr>
        <w:pStyle w:val="BodyText"/>
      </w:pPr>
      <w:r>
        <w:drawing>
          <wp:inline>
            <wp:extent cx="5334000" cy="3200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0" w:name="projekcije"/>
      <w:r>
        <w:t xml:space="preserve">Projekcije</w:t>
      </w:r>
      <w:bookmarkEnd w:id="30"/>
    </w:p>
    <w:p>
      <w:pPr>
        <w:pStyle w:val="Heading3"/>
      </w:pPr>
      <w:bookmarkStart w:id="31" w:name="X989026504fbae20d75ee12beff56fca56b396d8"/>
      <w:r>
        <w:t xml:space="preserve">Projekcije dnevno potrjeni primeri: 7-dnevno povprečje</w:t>
      </w:r>
      <w:bookmarkEnd w:id="31"/>
    </w:p>
    <w:p>
      <w:pPr>
        <w:pStyle w:val="FirstParagraph"/>
      </w:pP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0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projekcije-hospitalizacije"/>
      <w:r>
        <w:t xml:space="preserve">Projekcije hospitalizacije</w:t>
      </w:r>
      <w:bookmarkEnd w:id="34"/>
    </w:p>
    <w:p>
      <w:pPr>
        <w:pStyle w:val="FirstParagraph"/>
      </w:pP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1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projekcije-intenzivna-nega"/>
      <w:r>
        <w:t xml:space="preserve">Projekcije intenzivna nega</w:t>
      </w:r>
      <w:bookmarkEnd w:id="37"/>
    </w:p>
    <w:p>
      <w:pPr>
        <w:pStyle w:val="FirstParagraph"/>
      </w:pP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2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0" w:name="Xb1d815092a44710acb5f32f547bd5810dedcdb7"/>
      <w:r>
        <w:t xml:space="preserve">Projekcije dnevno umrlih: 7-dnevno povprečje</w:t>
      </w:r>
      <w:bookmarkEnd w:id="40"/>
    </w:p>
    <w:p>
      <w:pPr>
        <w:pStyle w:val="FirstParagraph"/>
      </w:pP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5334000" cy="3733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home/jzibert/modeliranje.nijz.si/site/epireport/epireport-c19_files/figure-docx/unnamed-chunk-13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43" w:name="končne-ugotovitve"/>
      <w:r>
        <w:t xml:space="preserve">Končne ugotovitve</w:t>
      </w:r>
      <w:bookmarkEnd w:id="4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epidemiološki situaciji z napovedmi</dc:title>
  <dc:creator/>
  <cp:keywords/>
  <dcterms:created xsi:type="dcterms:W3CDTF">2023-04-01T18:55:16Z</dcterms:created>
  <dcterms:modified xsi:type="dcterms:W3CDTF">2023-04-01T18:55:16Z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